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Burmistrz Miasta Lubawa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</w:rPr>
        <w:t xml:space="preserve">na podstawie art. </w:t>
      </w:r>
      <w:bookmarkStart w:id="0" w:name="__DdeLink__48620_4221804470"/>
      <w:r>
        <w:rPr>
          <w:rFonts w:cs="Times New Roman" w:ascii="Times New Roman" w:hAnsi="Times New Roman"/>
        </w:rPr>
        <w:t>9a ustawy z dnia 27 sierpnia 2004 r. o świadczeniach opieki zdrowotnej</w:t>
      </w:r>
      <w:bookmarkEnd w:id="0"/>
      <w:r>
        <w:rPr>
          <w:rFonts w:cs="Times New Roman" w:ascii="Times New Roman" w:hAnsi="Times New Roman"/>
        </w:rPr>
        <w:t xml:space="preserve"> finansowanych ze środków publicznych (t.j. Dz. U. z 2021 r., poz. 1285 z późn. zm.)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ogłasza konkurs ofert na realizację zadania:</w:t>
      </w:r>
    </w:p>
    <w:p>
      <w:pPr>
        <w:pStyle w:val="Normal"/>
        <w:spacing w:lineRule="auto" w:line="36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„</w:t>
      </w:r>
      <w:r>
        <w:rPr>
          <w:rFonts w:cs="Times New Roman" w:ascii="Times New Roman" w:hAnsi="Times New Roman"/>
          <w:b/>
        </w:rPr>
        <w:t>Poprawa dostępności mieszkańców Miasta Lubawa do usług medycznych w zakresie podstawowej opieki zdrowotnej lekarskiej i pielęgniarskiej w 2023 roku”</w:t>
      </w:r>
    </w:p>
    <w:p>
      <w:pPr>
        <w:pStyle w:val="Normal"/>
        <w:spacing w:lineRule="auto" w:line="36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Tekstwstpniesformatowany"/>
        <w:spacing w:lineRule="auto" w:line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 Opis przedmiotu konkursu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W celu zaspokajania potrzeb wspólnoty samorządowej w zakresie ochrony zdrowia, uwzględniając potrzeby zdrowotne, priorytety polityki zdrowotnej oraz stan dostępności doświadczeń opieki zdrowotnej na obszarze miasta Lubawa Burmistrz Miasta ogłasza konkurs ofert na realizację zadania </w:t>
      </w:r>
      <w:r>
        <w:rPr>
          <w:rFonts w:cs="Times New Roman" w:ascii="Times New Roman" w:hAnsi="Times New Roman"/>
          <w:b/>
          <w:bCs/>
        </w:rPr>
        <w:t>„Poprawa dostępności mieszkańców Miasta Lubawa do usług medycznych w zakresie podstawowej opieki zdrowotnej lekarskiej i pielęgniarskiej w 2023 roku”</w:t>
      </w:r>
      <w:r>
        <w:rPr>
          <w:rFonts w:cs="Times New Roman" w:ascii="Times New Roman" w:hAnsi="Times New Roman"/>
        </w:rPr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Korzystanie z usług w zakresie podstawowej opieki zdrowotnej lekarskiej i pielęgniarskiej będzie bezpłatne dla mieszkańców miasta Lubawa.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W ramach opieki lekarskiej i pielęgniarskiej przyjmowani są pacjenci z nagłymi zachorowaniami. Nagłym pogorszeniem stanu zdrowia występuje wtedy, gdy nie ma objawów sugerujących bezpośrednie zagrożenie życia lub nie ma istotnego uszczerbku zdrowia, a zastosowane środki domowe lub leki dostępne bez recepty nie przyniosły spodziewanej poprawy oraz wtedy, gdy zachodzi obawa, że oczekiwanie na otwarcie publicznej przychodni może znacząco niekorzystnie wpłynąć na stan zdrowia.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Celem konkursu jest zakup usług w zakresie zapewnienia mieszkańcom Miasta Lubawa opieki lekarskiej i pielęgniarskiej przez udzielanie świadczeń lekarskich i pielęgniarskich na zasadzie nocnej i świątecznej opieki zdrowotnej, które będą świadczone w dni wolne od pracy: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w soboty od godziny 10.00 do 18.00,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w niedziele od godziny 10.00 do 18.00,</w:t>
      </w:r>
    </w:p>
    <w:p>
      <w:pPr>
        <w:pStyle w:val="Normal"/>
        <w:spacing w:lineRule="auto" w:line="360"/>
        <w:ind w:left="108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łącznie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800 </w:t>
      </w:r>
      <w:r>
        <w:rPr>
          <w:rFonts w:cs="Times New Roman" w:ascii="Times New Roman" w:hAnsi="Times New Roman"/>
          <w:sz w:val="24"/>
          <w:szCs w:val="24"/>
        </w:rPr>
        <w:t>godzin.</w:t>
      </w:r>
    </w:p>
    <w:p>
      <w:pPr>
        <w:pStyle w:val="Normal"/>
        <w:spacing w:lineRule="auto" w:line="360"/>
        <w:ind w:left="108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Zamawiający dopuszcza zmianę godzin przyjmowania pacjentów, zarówno na etapie składania oferty, jak również w trakcie świadczenia usług przez Wykonawcę – po uprzednim uzgodnieniu z Zamawiającym, jednak liczba godzin każdego dyżuru zespołu lekarsko – pielęgniarskiego na dobę nie może być mniejsza niż 8 godzin. 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Liczba mieszkańców miasta Lubawa według stanu na dzień 21.11.2022 r. wynosi 10057, w tym:</w:t>
      </w:r>
    </w:p>
    <w:p>
      <w:pPr>
        <w:pStyle w:val="Normal"/>
        <w:numPr>
          <w:ilvl w:val="1"/>
          <w:numId w:val="13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w wieku przedprodukcyjnym – 2231,</w:t>
      </w:r>
    </w:p>
    <w:p>
      <w:pPr>
        <w:pStyle w:val="Normal"/>
        <w:numPr>
          <w:ilvl w:val="1"/>
          <w:numId w:val="13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w wieku produkcyjnym – 5876,</w:t>
      </w:r>
    </w:p>
    <w:p>
      <w:pPr>
        <w:pStyle w:val="Normal"/>
        <w:numPr>
          <w:ilvl w:val="1"/>
          <w:numId w:val="13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w wieku poprodukcyjnym – 1950.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color w:val="00000A"/>
        </w:rPr>
        <w:t>Kwota na sfinansowanie zadania określona zostanie w budżecie miasta Lubawa na rok 2023.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Każdorazowo Wykonawca zapewnia podczas dyżuru obecność 1 lekarza lub lekarza specjalisty oraz pielęgniarki.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Pomoc świadczona będzie: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a) w pomieszczeniach Wykonawcy lub 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b) w przypadku niedysponowania odpowiednim zapleczem - w budynku Miejskiego Ośrodka Zdrowia w Lubawie przy ul. Rzepnikowskiego 20 na zasadach ustalonych z kierownikiem Miejskiego Ośrodka Zdrowia w Lubawie. </w:t>
      </w:r>
    </w:p>
    <w:p>
      <w:pPr>
        <w:pStyle w:val="Normal"/>
        <w:spacing w:lineRule="auto" w:line="360"/>
        <w:ind w:left="720" w:hanging="0"/>
        <w:jc w:val="both"/>
        <w:rPr/>
      </w:pPr>
      <w:r>
        <w:rPr>
          <w:rFonts w:cs="Times New Roman" w:ascii="Times New Roman" w:hAnsi="Times New Roman"/>
        </w:rPr>
        <w:t xml:space="preserve">W tym wypadku do kalkulacji oferty należy przyjąć koszt wynajęcia pomieszczeń w Miejskim Ośrodku Zdrowia w wysokości 150,00 zł (brutto) za 1 dyżur w jednym dniu.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Usługa będzie świadczona jedynie dla mieszkańców Miasta Lubawa. Podstawą do udzielenia świadczenia będzie posiadanie: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a) Lubawskiej Karty Mieszkańca, 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b) Lubawskiej Karty Seniora,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c) Karty Dużej Rodziny wydanej przez miejski samorząd, </w:t>
      </w:r>
    </w:p>
    <w:p>
      <w:pPr>
        <w:pStyle w:val="Normal"/>
        <w:spacing w:lineRule="auto" w:line="360"/>
        <w:ind w:left="720" w:hanging="0"/>
        <w:jc w:val="both"/>
        <w:rPr/>
      </w:pPr>
      <w:r>
        <w:rPr>
          <w:rFonts w:cs="Times New Roman" w:ascii="Times New Roman" w:hAnsi="Times New Roman"/>
        </w:rPr>
        <w:t xml:space="preserve">d) dokumentu z adresem zamieszkania.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Wykonawca zabezpiecza we własnym zakresie i na własny koszt niezbędne materiały medyczne, leki i urządzenia niezbędne do wykonania zamówienia zgodnie z wymogami NFZ dotyczącymi ambulatoryjnej opieki w zakresie opisanym w Konkursie.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Wszystkie urządzenia wykorzystane przez Wykonawcę do realizacji zamówienia powinny spełniać wymogi </w:t>
      </w:r>
      <w:bookmarkStart w:id="1" w:name="__DdeLink__1472_4248677979"/>
      <w:r>
        <w:rPr>
          <w:rFonts w:cs="Times New Roman" w:ascii="Times New Roman" w:hAnsi="Times New Roman"/>
        </w:rPr>
        <w:t>określone w powszechnie obowiązujących przepisach prawa</w:t>
      </w:r>
      <w:bookmarkEnd w:id="1"/>
      <w:r>
        <w:rPr>
          <w:rFonts w:cs="Times New Roman" w:ascii="Times New Roman" w:hAnsi="Times New Roman"/>
        </w:rPr>
        <w:t xml:space="preserve"> dopuszczających je do używania w Polsce oraz posiadać dokumenty potwierdzające, że spełniają wszystkie niezbędne normy i wytyczne do używania.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Wykonawca jest zobowiązany zapewnić opiekę lekarską i pielęgniarską na poziomie podstawowej opieki zdrowotnej, w tym w szczególności: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a) przebadania pacjenta, w tym wykonania pomiaru ciśnienia tętniczego, wykonanie badania EKG - jeśli zachodzi taka potrzeba,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b) wypisania recepty,</w:t>
      </w:r>
    </w:p>
    <w:p>
      <w:pPr>
        <w:pStyle w:val="Normal"/>
        <w:spacing w:lineRule="auto" w:line="360"/>
        <w:ind w:left="720" w:hanging="0"/>
        <w:jc w:val="both"/>
        <w:rPr/>
      </w:pPr>
      <w:r>
        <w:rPr>
          <w:rFonts w:cs="Times New Roman" w:ascii="Times New Roman" w:hAnsi="Times New Roman"/>
          <w:highlight w:val="white"/>
        </w:rPr>
        <w:t>c) skierowania do szpitala,</w:t>
      </w:r>
    </w:p>
    <w:p>
      <w:pPr>
        <w:pStyle w:val="Normal"/>
        <w:spacing w:lineRule="auto" w:line="360"/>
        <w:ind w:left="720" w:hanging="0"/>
        <w:jc w:val="both"/>
        <w:rPr/>
      </w:pPr>
      <w:r>
        <w:rPr>
          <w:rFonts w:cs="Times New Roman" w:ascii="Times New Roman" w:hAnsi="Times New Roman"/>
          <w:highlight w:val="white"/>
        </w:rPr>
        <w:t>d) wykonania iniekcji dożylnych i domięśniowych – wyłącznie na zlecenie i pod nadzorem lekarza,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e) założenia i zmiany opatrunku,</w:t>
      </w:r>
    </w:p>
    <w:p>
      <w:pPr>
        <w:pStyle w:val="Normal"/>
        <w:spacing w:lineRule="auto" w:line="360"/>
        <w:ind w:left="720" w:hanging="0"/>
        <w:jc w:val="both"/>
        <w:rPr/>
      </w:pPr>
      <w:r>
        <w:rPr>
          <w:rFonts w:cs="Times New Roman" w:ascii="Times New Roman" w:hAnsi="Times New Roman"/>
          <w:highlight w:val="white"/>
        </w:rPr>
        <w:t>f) w przypadku zagrożenia zdrowia lub życia pacjenta podjęcia wszelkich czynności zmierzających do zachowania podstawowych funkcji życiowych do czasu przekazania pacjenta pod opiekę Zespołu Ratownictwa Medycznego.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highlight w:val="white"/>
        </w:rPr>
        <w:t xml:space="preserve">Wykonawca ma obowiązek na 48 godzin przed rozpoczęciem każdego dyżuru do zamieszczenia informacji dla pacjentów o zespole lekarsko – pielęgniarskim, w tym ewentualnej specjalizacji lekarza, który będzie przyjmował pacjentów podczas najbliższych dyżurów. Informacja musi być umieszczona w miejscu ogólnodostępnym, zarówno wewnątrz, jak i na zewnątrz obiektu, w którym świadczone są usługi dla pacjentów.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color w:val="00000A"/>
          <w:highlight w:val="white"/>
        </w:rPr>
        <w:t>Wykonawca opracuje Regulamin Organizacyjny Punktu udzielenia świadczeń zdrowotnych w zakresie usług lekarskich i pielęgniarskich na zasadach nocnej i świątecznej opieki zdrowotnej.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color w:val="00000A"/>
          <w:highlight w:val="white"/>
        </w:rPr>
        <w:t>Zamawiający zastrzega możliwość nie podpisania umowy w przypadku nie zabezpieczenia odpowiedniej kwoty przez Radę Miasta Lubawa w budżecie miasta Lubawa na rok 2023.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color w:val="00000A"/>
          <w:highlight w:val="white"/>
        </w:rPr>
        <w:t>Wykonawca w wypadku, o którym mowa w pkt I.12 nie będzie miał prawa wnosić żadnych roszczeń z powodu nie podpisania stosownej umowy, której wzór stanowi załącznik nr 1.</w:t>
      </w:r>
    </w:p>
    <w:p>
      <w:pPr>
        <w:pStyle w:val="Normal"/>
        <w:spacing w:lineRule="auto" w:line="360"/>
        <w:ind w:left="720" w:hanging="0"/>
        <w:jc w:val="both"/>
        <w:rPr>
          <w:rFonts w:cs="Times New Roman"/>
          <w:highlight w:val="green"/>
        </w:rPr>
      </w:pPr>
      <w:r>
        <w:rPr>
          <w:rFonts w:cs="Times New Roman"/>
          <w:highlight w:val="green"/>
        </w:rPr>
      </w:r>
    </w:p>
    <w:p>
      <w:pPr>
        <w:pStyle w:val="Normal"/>
        <w:spacing w:lineRule="auto" w:line="360"/>
        <w:ind w:left="720" w:hanging="0"/>
        <w:jc w:val="both"/>
        <w:rPr>
          <w:rFonts w:cs="Times New Roman"/>
          <w:highlight w:val="green"/>
        </w:rPr>
      </w:pPr>
      <w:r>
        <w:rPr>
          <w:rFonts w:cs="Times New Roman"/>
          <w:highlight w:val="gree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II. Termin realizacji zadania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>Zadanie będzie realizowane w okresie od 07.01.2023 r. do 30.12.2023 r</w:t>
      </w:r>
      <w:r>
        <w:rPr>
          <w:rFonts w:cs="Times New Roman" w:ascii="Times New Roman" w:hAnsi="Times New Roman"/>
          <w:color w:val="000000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III. Warunki udziału w konkursie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Warunkiem udziału w konkursie jest udokumentowanie przez Oferenta, że:</w:t>
      </w:r>
    </w:p>
    <w:p>
      <w:pPr>
        <w:pStyle w:val="ListParagraph"/>
        <w:numPr>
          <w:ilvl w:val="1"/>
          <w:numId w:val="4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Posiada uprawnienia do wykonywania działalności leczniczej: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- w celu potwierdzenia spełniania powyższego warunku należy przedłożyć wraz z ofertą: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Cs w:val="24"/>
          <w:u w:val="single"/>
        </w:rPr>
        <w:t>W przypadku podmiotu wykonującego działalność leczniczą: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 xml:space="preserve">Wpis do Centralnej Ewidencji i Informacji o Działalności Gospodarczej Rzeczpospolitej Polskiej lub wpis do Krajowego Rejestru Sądowego podmiotu leczniczego poświadczający, że podmiot jest uprawniony do występowania w obrocie prawnym, udzielając świadczeń opieki zdrowotnej w zakresie objętym przedmiotem Zamówienia. Z dokumentów tych musi także wynikać, że osoby podpisujące ofertę lub udzielające pełnomocnictwa są upoważnione do składania oświadczeń woli w imieniu Wykonawcy, (wystawione nie wcześniej niż 6 m-cy przed terminem składania oferty).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>Decyzję wojewody o wpisie do rejestru podmiotów wykonujących działalność leczniczą - zakładów opieki zdrowotnej, (wystawione nie wcześniej niż 6 m-cy przed terminem składania oferty).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u w:val="none"/>
        </w:rPr>
      </w:pPr>
      <w:r>
        <w:rPr>
          <w:rFonts w:cs="Times New Roman" w:ascii="Times New Roman" w:hAnsi="Times New Roman"/>
          <w:szCs w:val="24"/>
          <w:u w:val="none"/>
        </w:rPr>
        <w:t>Wykonawca musi posiadać wszystkie niezbędne ubezpieczenia wynikające z obowiązujących przepisów prawa.</w:t>
      </w:r>
    </w:p>
    <w:p>
      <w:pPr>
        <w:pStyle w:val="Normal"/>
        <w:spacing w:lineRule="auto" w:line="360"/>
        <w:ind w:left="1440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W przypadku podmiotów wykonujących działalność leczniczą w ramach praktyki zawodowej: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Cs w:val="24"/>
        </w:rPr>
        <w:t>Wpis do Centralnej Ewidencji i Informacji o Działalności Gospodarczej Rzeczpospolitej Polskiej lub wpis do Krajowego Rejestru Sądowego podmiotu leczniczego poświadczający, że podmiot jest uprawniony do występowania w obrocie prawnym, udzielając świadczeń opieki zdrowotnej w zakresie objętym przedmiotem Zamówienia, (wystawione nie wcześniej niż 6 m-cy przed terminem składania oferty).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Cs w:val="24"/>
        </w:rPr>
        <w:t>Zaświadczenie o wpisie do rejestru podmiotów wykonujących działalność leczniczą wydane przez Okręgową Izbę Lekarską lub wypis z księgi rejestrowej podmiotów wykonujących działalność leczniczą, (wystawione nie wcześniej niż 6 m-cy przed terminem składania oferty).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Dyplom ukończenia studiów medycznych, prawo wykonywania zawodu, dyplom specjalisty lub karta specjalizacji.</w:t>
      </w:r>
    </w:p>
    <w:p>
      <w:pPr>
        <w:pStyle w:val="ListParagraph"/>
        <w:numPr>
          <w:ilvl w:val="1"/>
          <w:numId w:val="4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>Dysponuje ubezpieczeniem od odpowiedzialności cywilnej w zakresie prowadzonej działalności związanej z przedmiotem konkursu na sumę gwarancyjną nie mniejszą niż 75 000 euro w odniesieniu do jednego zdarzenia oraz 350 000 euro na wszystkie zdarzenia w okresie ubezpieczenia (zgodnie z Rozporządzeniem Ministra Finansów z dnia 29 kwietnia 2019 r. Dz. U. 2019, poz. 866):</w:t>
      </w:r>
    </w:p>
    <w:p>
      <w:pPr>
        <w:pStyle w:val="ListParagraph"/>
        <w:spacing w:lineRule="auto" w:line="360"/>
        <w:ind w:left="1440" w:hanging="0"/>
        <w:jc w:val="both"/>
        <w:rPr/>
      </w:pPr>
      <w:r>
        <w:rPr>
          <w:rFonts w:cs="Times New Roman" w:ascii="Times New Roman" w:hAnsi="Times New Roman"/>
          <w:szCs w:val="24"/>
        </w:rPr>
        <w:t>- w celu potwierdzenia spełniania powyższego warunku należy przedłożyć wraz z ofertą poświadczoną za zgodność z oryginałem kserokopię polisy ubezpieczeniowej.</w:t>
      </w:r>
    </w:p>
    <w:p>
      <w:pPr>
        <w:pStyle w:val="Normal"/>
        <w:numPr>
          <w:ilvl w:val="1"/>
          <w:numId w:val="4"/>
        </w:numPr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Cs w:val="24"/>
        </w:rPr>
        <w:t>Posiada doświadczenia w realizacji usługi stanowiącej przedmiot niniejszego konkursu:</w:t>
      </w:r>
    </w:p>
    <w:p>
      <w:pPr>
        <w:pStyle w:val="ListParagraph"/>
        <w:spacing w:lineRule="auto" w:line="360"/>
        <w:ind w:left="1416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Cs w:val="24"/>
        </w:rPr>
        <w:t>- w celu potwierdzenia spełniania powyższego warunku należy przedłożyć dokument (wykaz wykonanych usług wraz z załączeniem dowodów określających, czy usługi te zostały wykonane lub są wykonywane należycie, przy czym dowodami, o których mowa, są referencje bądź inne dokumenty wystawione przez podmiot, na rzecz którego usługi były wykonywane, a w przypadku świadczeń okresowych lub ciągłych są wykonywane nadal, a jeżeli z uzasadnionej przyczyny o obiektywnym charakterze Wykonawca nie jest w stanie uzyskać tych dokumentów – przedstawić oświadczenie Wykonawcy) potwierdzające fakt świadczenia usług w zakresie podstawowej opieki zdrowotnej w okresie min 3 lat;</w:t>
      </w:r>
    </w:p>
    <w:p>
      <w:pPr>
        <w:pStyle w:val="ListParagraph"/>
        <w:numPr>
          <w:ilvl w:val="1"/>
          <w:numId w:val="4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Dysponuje odpowiednią kadrą medyczną: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- w celu potwierdzenia spełniania powyższego warunku należy przedłożyć wykaz osób skierowanych do realizacji przedmiotowej usługi.</w:t>
      </w:r>
    </w:p>
    <w:p>
      <w:pPr>
        <w:pStyle w:val="ListParagraph"/>
        <w:spacing w:lineRule="auto" w:line="360"/>
        <w:ind w:left="144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spacing w:lineRule="auto" w:line="360"/>
        <w:ind w:left="144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IV. Opis sposobu przygotowania ofert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Oferta jest dokumentem sporządzonym w formie pisemnej pod rygorem nieważności, podpisanym zgodnie z zasadami reprezentacji Wykonawcy.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Formularz oferty powinien być sporządzony zgodnie z załączonym wzorem.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Oferta powinna być zgodna z postanowieniami niniejszego Konkursu.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Do Formularza oferty należy załączyć dokumenty, o których mowa w Pkt. III niniejszego ogłoszenia.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Oferta winna być sporządzona w języku polskim w sposób czytelny. Oferty nieczytelne nie będą rozpatrywane.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W przypadku, gdy Wykonawcę reprezentuje pełnomocnik, do oferty musi być załączone pełnomocnictwo określające zakres pełnomocnictwa, podpisane przez osoby uprawnione do reprezentowania Wykonawcy i składania w jego imieniu oświadczeń woli oraz zaciągania zobowiązań. Pełnomocnictwo musi być złożone w oryginale lub kopii poświadczonej za zgodność z oryginałem przez notariusza.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Zaleca się parafowanie wszystkich stron oferty oraz Załączników do niej.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Wszystkie miejsca, w których Wykonawca naniósł zmiany, winny być parafowane przez osobę podpisującą ofertę.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Ofertę należy złożyć w zamkniętej kopercie zaadresowanej na Zamawiającego z napisem:</w:t>
      </w:r>
    </w:p>
    <w:tbl>
      <w:tblPr>
        <w:tblStyle w:val="Tabela-Siatka"/>
        <w:tblW w:w="8129" w:type="dxa"/>
        <w:jc w:val="left"/>
        <w:tblInd w:w="995" w:type="dxa"/>
        <w:tblLayout w:type="fixed"/>
        <w:tblCellMar>
          <w:top w:w="0" w:type="dxa"/>
          <w:left w:w="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29"/>
      </w:tblGrid>
      <w:tr>
        <w:trPr/>
        <w:tc>
          <w:tcPr>
            <w:tcW w:w="812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 xml:space="preserve">Poprawa dostępności mieszkańców Miasta Lubawa do usług medycznych w zakresie podstawowej opieki zdrowotnej lekarskiej i pielęgniarskiej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w 2023 roku”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color w:val="auto"/>
              </w:rPr>
              <w:t>nie otwierać przed 12.12.2022 r. godz. 15.00.</w:t>
            </w:r>
          </w:p>
        </w:tc>
      </w:tr>
    </w:tbl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V. Miejsce oraz termin składania i otwarcia ofert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>Oferty należy składać w siedzibie Urzędu Miasta Lubawa, ul. Rzepnikowskiego 9A, w terminie do dnia 12.</w:t>
      </w:r>
      <w:r>
        <w:rPr>
          <w:rFonts w:cs="Times New Roman" w:ascii="Times New Roman" w:hAnsi="Times New Roman"/>
          <w:color w:val="auto"/>
          <w:szCs w:val="24"/>
        </w:rPr>
        <w:t>12.2022 r. do godz. 15:00.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>W przypadku dostarczania lub składania ofert drogą pocztową (przesyłka polecona lub poczta kurierska) za termin jej złożenia przyjęty będzie dzień i godzina dostarczenia oferty do siedziby Zamawiającego.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>Otwarcie ofert odbędzie się w dniu</w:t>
      </w:r>
      <w:r>
        <w:rPr>
          <w:rFonts w:cs="Times New Roman" w:ascii="Times New Roman" w:hAnsi="Times New Roman"/>
          <w:color w:val="CE181E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Cs w:val="24"/>
        </w:rPr>
        <w:t>13.</w:t>
      </w:r>
      <w:r>
        <w:rPr>
          <w:rFonts w:cs="Times New Roman" w:ascii="Times New Roman" w:hAnsi="Times New Roman"/>
          <w:color w:val="auto"/>
          <w:szCs w:val="24"/>
        </w:rPr>
        <w:t>12.2022 roku o godz. 10.</w:t>
      </w:r>
      <w:r>
        <w:rPr>
          <w:rFonts w:cs="Times New Roman" w:ascii="Times New Roman" w:hAnsi="Times New Roman"/>
          <w:color w:val="auto"/>
          <w:szCs w:val="24"/>
        </w:rPr>
        <w:t>00</w:t>
      </w:r>
      <w:r>
        <w:rPr>
          <w:rFonts w:cs="Times New Roman" w:ascii="Times New Roman" w:hAnsi="Times New Roman"/>
          <w:szCs w:val="24"/>
        </w:rPr>
        <w:t xml:space="preserve"> w siedzibie Urzędu Miasta Lubawa, 14-260 Lubawa, ul. Rzepnikowskiego 9a - pokój nr 3 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Kolejność otwierania ofert będzie zgodna z kolejnością rejestracji ich wpłynięcia do Zamawiającego.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>Wszystkie oferty otrzymane po terminie składania ofert zostaną zwrócone Wykonawcom bez ich otwierania.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 xml:space="preserve">Zamawiający po udzieleniu zamówienia zamieści stosowną informację na swojej stronie internetowej </w:t>
      </w:r>
      <w:hyperlink r:id="rId2">
        <w:r>
          <w:rPr>
            <w:rStyle w:val="Czeinternetowe"/>
            <w:rFonts w:cs="Times New Roman" w:ascii="Times New Roman" w:hAnsi="Times New Roman"/>
            <w:szCs w:val="24"/>
          </w:rPr>
          <w:t>www.lubawa.pl</w:t>
        </w:r>
      </w:hyperlink>
      <w:r>
        <w:rPr>
          <w:rFonts w:cs="Times New Roman" w:ascii="Times New Roman" w:hAnsi="Times New Roman"/>
          <w:szCs w:val="24"/>
        </w:rPr>
        <w:t xml:space="preserve"> oraz lubawa.bip-wm.pl.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VI. Opis sposobu obliczania ceny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 xml:space="preserve">Cena oferty brutto musi być wyrażona w złotych polskich i obejmować wszystkie koszty związane z należytym wykonaniem przedmiotu zamówienia na warunkach określonych w Konkursie. Cenę podaje się z dokładnością do dwóch miejsc po przecinku.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 xml:space="preserve">Przy kalkulacji ceny oferty, zarówno w cenach jednostkowych, jak i w cenie oferty, powinny zostać uwzględnione wszystkie należności publiczno-prawne, kwota podatku VAT obliczona według stawki zgodnej z przepisami obowiązującymi na dzień składania oferty, a także zobowiązania, koszty i narzuty, które poniesie Wykonawca w związku z realizacją zamówienia zgodnie z zakresem zamówienia określonym w Konkursie. </w:t>
      </w:r>
      <w:r>
        <w:rPr>
          <w:color w:val="000000"/>
        </w:rPr>
        <w:t>Kalkulacja ceny za 1 godzinę dyżuru z podziałem na koszt porady lekarskiej i koszt porady pielęgniarskiej wraz z innymi kosztami.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Cena oferty powinna obejmować wszystkie koszty związane z wykonaniem zamówienia. W cenie oferty należy uwzględnić warunki realizacji przedmiotu zamówienia, w tym między innymi: koszty transportu oraz wszelkie opłaty, w tym ubezpieczenia oraz inne koszty i opłaty niewymienione, a które mogą wystąpić przy realizacji przedmiotu zamówienia, zysk, narzuty, ewentualne upusty, należny podatek VAT oraz pozostałe składniki cenotwórcze.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/>
      </w:pPr>
      <w:r>
        <w:rPr>
          <w:rFonts w:cs="Times New Roman" w:ascii="Times New Roman" w:hAnsi="Times New Roman"/>
          <w:szCs w:val="24"/>
        </w:rPr>
        <w:t>W celu podania ceny oferty Wykonawca zobowiązany jest wypełnić i podpisać Formularz ofertowy stanowiący Załącznik Nr 2.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Jeżeli zostanie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poinformuje Zamawiającego, czy wybór oferty będzie prowadzić do powstania u Zamawiającego obowiązku podatkowego, wskazując nazwę (rodzaj) usługi, której świadczenie będzie prowadzić do jego powstania oraz wskazując ich wartość bez kwoty podatku.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nie przewiduje możliwości prowadzenia rozliczeń w walutach obcych. Rozliczenia między Wykonawcą a Zamawiającym będą dokonywane w złotych polskich.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Zamawiający nie przewiduje możliwości udzielenia Wykonawcy zaliczek na poczet wykonania zamówienia.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VII. Kryteria wyboru oferty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Kryterium wyboru oferty jest cena ofertowa brutto (60%) za wykonanie przedmiotu zamówienia, potencjał 30 pkt. i certyfikaty jakości (10 pkt):</w:t>
      </w:r>
    </w:p>
    <w:p>
      <w:pPr>
        <w:pStyle w:val="Normal"/>
        <w:numPr>
          <w:ilvl w:val="1"/>
          <w:numId w:val="9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</w:rPr>
        <w:t>cena oferty brutto - 60 pkt.</w:t>
      </w:r>
      <w:r>
        <w:rPr>
          <w:rFonts w:cs="Times New Roman" w:ascii="Times New Roman" w:hAnsi="Times New Roman"/>
        </w:rPr>
        <w:t xml:space="preserve"> - 60 % - procentowe znaczenie kryterium ceny.</w:t>
      </w:r>
    </w:p>
    <w:p>
      <w:pPr>
        <w:pStyle w:val="Normal"/>
        <w:spacing w:lineRule="auto" w:line="360"/>
        <w:ind w:left="108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Zastosowane wzory do obliczenia punktowego kryterium cena na podstawie ofertowej ceny brutto określonej przez Wykonawcę w Formularzu Wyceny Oferty,</w:t>
      </w:r>
    </w:p>
    <w:p>
      <w:pPr>
        <w:pStyle w:val="Normal"/>
        <w:spacing w:lineRule="auto" w:line="360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825" w:type="dxa"/>
        <w:jc w:val="left"/>
        <w:tblInd w:w="2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2"/>
        <w:gridCol w:w="223"/>
        <w:gridCol w:w="3050"/>
        <w:gridCol w:w="191"/>
        <w:gridCol w:w="1799"/>
      </w:tblGrid>
      <w:tr>
        <w:trPr/>
        <w:tc>
          <w:tcPr>
            <w:tcW w:w="562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050" w:type="dxa"/>
            <w:tcBorders/>
            <w:shd w:fill="auto" w:val="clear"/>
            <w:vAlign w:val="bottom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Cena oferty najniższej brutto</w:t>
            </w:r>
          </w:p>
        </w:tc>
        <w:tc>
          <w:tcPr>
            <w:tcW w:w="191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</w:t>
            </w:r>
            <w:r>
              <w:rPr>
                <w:rFonts w:cs="Times New Roman" w:ascii="Times New Roman" w:hAnsi="Times New Roman"/>
                <w:color w:val="000000"/>
                <w:vertAlign w:val="subscript"/>
              </w:rPr>
              <w:t xml:space="preserve">o </w:t>
            </w:r>
            <w:r>
              <w:rPr>
                <w:rFonts w:cs="Times New Roman" w:ascii="Times New Roman" w:hAnsi="Times New Roman"/>
                <w:color w:val="000000"/>
              </w:rPr>
              <w:t>=</w:t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</w:t>
            </w:r>
          </w:p>
        </w:tc>
        <w:tc>
          <w:tcPr>
            <w:tcW w:w="3050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------------------------------------</w:t>
            </w:r>
          </w:p>
        </w:tc>
        <w:tc>
          <w:tcPr>
            <w:tcW w:w="191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)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x 100 x 60%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050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Cena badanej oferty brutto</w:t>
            </w:r>
          </w:p>
        </w:tc>
        <w:tc>
          <w:tcPr>
            <w:tcW w:w="191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spacing w:lineRule="auto" w:line="360"/>
        <w:ind w:left="1080" w:hanging="0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numPr>
          <w:ilvl w:val="1"/>
          <w:numId w:val="9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</w:rPr>
        <w:t>potencjał (Pot) 30 pkt.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co najmniej 10 zatrudnionych (zakontraktowanych) lekarzy </w:t>
      </w:r>
      <w:r>
        <w:rPr>
          <w:rFonts w:cs="Times New Roman" w:ascii="Times New Roman" w:hAnsi="Times New Roman"/>
          <w:szCs w:val="24"/>
          <w:u w:val="single"/>
        </w:rPr>
        <w:t>realizujących świadczenie</w:t>
      </w:r>
      <w:r>
        <w:rPr>
          <w:rFonts w:cs="Times New Roman" w:ascii="Times New Roman" w:hAnsi="Times New Roman"/>
          <w:szCs w:val="24"/>
        </w:rPr>
        <w:t xml:space="preserve"> posiadających specjalizację (1-szy stopień specjalizacji lub tytuł specjalisty) w dziedzinie medycyna rodzinna, pediatria lub choroby wewnętrzne - 30 pkt.,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co najmniej 5 zatrudnionych (zakontraktowanych) lekarzy </w:t>
      </w:r>
      <w:r>
        <w:rPr>
          <w:rFonts w:cs="Times New Roman" w:ascii="Times New Roman" w:hAnsi="Times New Roman"/>
          <w:szCs w:val="24"/>
          <w:u w:val="single"/>
        </w:rPr>
        <w:t>realizujących świadczenie</w:t>
      </w:r>
      <w:r>
        <w:rPr>
          <w:rFonts w:cs="Times New Roman" w:ascii="Times New Roman" w:hAnsi="Times New Roman"/>
          <w:szCs w:val="24"/>
        </w:rPr>
        <w:t xml:space="preserve"> posiadających specjalizację (1-szy stopień specjalizacji lub tytuł specjalisty) w dziedzinie medycyna rodzinna, pediatria lub choroby wewnętrzne - 20 pkt., 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co najmniej 2 zatrudnionych (zakontraktowanych) lekarzy </w:t>
      </w:r>
      <w:r>
        <w:rPr>
          <w:rFonts w:cs="Times New Roman" w:ascii="Times New Roman" w:hAnsi="Times New Roman"/>
          <w:szCs w:val="24"/>
          <w:u w:val="single"/>
        </w:rPr>
        <w:t>realizujących świadczenie</w:t>
      </w:r>
      <w:r>
        <w:rPr>
          <w:rFonts w:cs="Times New Roman" w:ascii="Times New Roman" w:hAnsi="Times New Roman"/>
          <w:szCs w:val="24"/>
        </w:rPr>
        <w:t xml:space="preserve"> posiadających specjalizację (1-szy stopień specjalizacji lub tytuł specjalisty) w dziedzinie medycyna rodzinna, pediatria lub choroby wewnętrzne - 10 pkt.,</w:t>
      </w:r>
    </w:p>
    <w:p>
      <w:pPr>
        <w:pStyle w:val="ListParagraph"/>
        <w:spacing w:lineRule="auto" w:line="360"/>
        <w:ind w:left="25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1"/>
          <w:numId w:val="9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</w:rPr>
        <w:t>certyfikaty jakości (Cj) 10 pkt.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Certyfikat ISO w zakresie usług medycznych - ważny w dniu złożenia oferty – 5 pkt.,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Certyfikat Akredytacyjny Ministra Zdrowia - ważny w dniu złożenia oferty – 5 pkt.</w:t>
      </w:r>
    </w:p>
    <w:p>
      <w:pPr>
        <w:pStyle w:val="ListParagraph"/>
        <w:spacing w:lineRule="auto" w:line="360"/>
        <w:ind w:left="25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Łączna wartość maksymalna oceny oferty (W) 100 pkt. liczona według wzoru:</w:t>
      </w:r>
    </w:p>
    <w:p>
      <w:pPr>
        <w:pStyle w:val="Normal"/>
        <w:spacing w:lineRule="auto" w:line="360"/>
        <w:ind w:left="72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W= C</w:t>
      </w:r>
      <w:r>
        <w:rPr>
          <w:rFonts w:cs="Times New Roman" w:ascii="Times New Roman" w:hAnsi="Times New Roman"/>
          <w:vertAlign w:val="subscript"/>
        </w:rPr>
        <w:t>0</w:t>
      </w:r>
      <w:r>
        <w:rPr>
          <w:rFonts w:cs="Times New Roman" w:ascii="Times New Roman" w:hAnsi="Times New Roman"/>
        </w:rPr>
        <w:t xml:space="preserve"> + Pot+Cj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>Za ofertę najkorzystniejszą zostanie uznana oferta, która uzyska najwyższą liczbę punktów, uzyskaną poprzez zsumowanie punktów zdobytych w w/w kryteriach. W przypadku, gdy dwie lub więcej ofert uzyska taki sam bilans punktów, Zamawiający wybierze ofertę z niższą ceną. Wykonawca nie może samodzielnie zmieniać i wprowadzać dodatkowych pozycji do oferty.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</w:rPr>
        <w:t>VIII. Informacje dotyczące wzoru umowy</w:t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 w:val="false"/>
          <w:iCs w:val="false"/>
          <w:szCs w:val="24"/>
        </w:rPr>
        <w:t>Wzór umowy stanowi w Załącznik Nr 1.</w:t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Cs w:val="24"/>
        </w:rPr>
        <w:t>Zamawiający przewiduje możliwość zmiany umowy w przypadku wystąpienia co najmniej jednej z okoliczności wymienionych poniżej:</w:t>
      </w:r>
    </w:p>
    <w:p>
      <w:pPr>
        <w:pStyle w:val="ListParagraph"/>
        <w:numPr>
          <w:ilvl w:val="1"/>
          <w:numId w:val="12"/>
        </w:numPr>
        <w:spacing w:lineRule="auto" w:line="36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Cs w:val="24"/>
        </w:rPr>
        <w:t>zmiany obowiązujących przepisów,</w:t>
      </w:r>
    </w:p>
    <w:p>
      <w:pPr>
        <w:pStyle w:val="ListParagraph"/>
        <w:numPr>
          <w:ilvl w:val="1"/>
          <w:numId w:val="12"/>
        </w:numPr>
        <w:spacing w:lineRule="auto" w:line="36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  <w:t>zmiany godzin świadczenia usług medycznych.</w:t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/>
      </w:pPr>
      <w:r>
        <w:rPr>
          <w:rFonts w:cs="Times New Roman" w:ascii="Times New Roman" w:hAnsi="Times New Roman"/>
          <w:i w:val="false"/>
          <w:iCs w:val="false"/>
          <w:szCs w:val="24"/>
        </w:rPr>
        <w:t>Zmiana umowy nastąpi poprzez zawarcie stosownego ane</w:t>
      </w:r>
      <w:bookmarkStart w:id="2" w:name="_GoBack"/>
      <w:bookmarkEnd w:id="2"/>
      <w:r>
        <w:rPr>
          <w:rFonts w:cs="Times New Roman" w:ascii="Times New Roman" w:hAnsi="Times New Roman"/>
          <w:i w:val="false"/>
          <w:iCs w:val="false"/>
          <w:szCs w:val="24"/>
        </w:rPr>
        <w:t>ksu do Umowy.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800" w:right="0" w:hanging="0"/>
        <w:jc w:val="center"/>
        <w:rPr/>
      </w:pPr>
      <w:r>
        <w:rPr>
          <w:rFonts w:ascii="Times New Roman" w:hAnsi="Times New Roman"/>
          <w:color w:val="00000A"/>
          <w:sz w:val="24"/>
          <w:szCs w:val="24"/>
        </w:rPr>
        <w:t>BURMISTRZ</w:t>
      </w:r>
    </w:p>
    <w:p>
      <w:pPr>
        <w:pStyle w:val="Normal"/>
        <w:ind w:left="4800" w:right="0" w:hanging="0"/>
        <w:jc w:val="center"/>
        <w:rPr/>
      </w:pPr>
      <w:r>
        <w:rPr>
          <w:rFonts w:ascii="Times New Roman" w:hAnsi="Times New Roman"/>
          <w:color w:val="00000A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4800" w:right="0" w:hanging="0"/>
        <w:jc w:val="center"/>
        <w:rPr/>
      </w:pPr>
      <w:r>
        <w:rPr>
          <w:rFonts w:cs="Times New Roman" w:ascii="Times New Roman" w:hAnsi="Times New Roman"/>
          <w:i w:val="false"/>
          <w:iCs w:val="false"/>
          <w:color w:val="00000A"/>
          <w:sz w:val="24"/>
          <w:szCs w:val="24"/>
        </w:rPr>
        <w:t>/-/ mgr Maciej Radtke</w:t>
      </w:r>
    </w:p>
    <w:p>
      <w:pPr>
        <w:pStyle w:val="ListParagraph"/>
        <w:spacing w:lineRule="auto" w:line="360"/>
        <w:ind w:left="720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A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Cs w:val="24"/>
        </w:rPr>
      </w:pPr>
      <w:r>
        <w:rPr>
          <w:rFonts w:cs="Times New Roman" w:ascii="Times New Roman" w:hAnsi="Times New Roman"/>
          <w:i w:val="false"/>
          <w:iCs w:val="false"/>
          <w:szCs w:val="24"/>
        </w:rPr>
      </w:r>
    </w:p>
    <w:p>
      <w:pPr>
        <w:pStyle w:val="ListParagraph"/>
        <w:spacing w:lineRule="auto" w:line="360"/>
        <w:jc w:val="both"/>
        <w:rPr/>
      </w:pPr>
      <w:r>
        <w:rPr>
          <w:rFonts w:cs="Times New Roman" w:ascii="Times New Roman" w:hAnsi="Times New Roman"/>
          <w:i w:val="false"/>
          <w:iCs w:val="false"/>
          <w:color w:val="auto"/>
          <w:szCs w:val="24"/>
        </w:rPr>
        <w:t>Lubawa, 23 listopada 2022 r.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  <w:b/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722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qFormat/>
    <w:rPr>
      <w:color w:val="0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kstwstpniesformatowany" w:customStyle="1">
    <w:name w:val="Tekst wstępnie sformatowany"/>
    <w:basedOn w:val="Normal"/>
    <w:qFormat/>
    <w:rsid w:val="00f22722"/>
    <w:pPr/>
    <w:rPr>
      <w:rFonts w:ascii="Liberation Mono" w:hAnsi="Liberation Mono" w:eastAsia="NSimSun" w:cs="Liberation Mono"/>
      <w:sz w:val="20"/>
      <w:szCs w:val="20"/>
    </w:rPr>
  </w:style>
  <w:style w:type="paragraph" w:styleId="ListParagraph">
    <w:name w:val="List Paragraph"/>
    <w:basedOn w:val="Normal"/>
    <w:uiPriority w:val="34"/>
    <w:qFormat/>
    <w:rsid w:val="00f22722"/>
    <w:pPr>
      <w:spacing w:before="0" w:after="0"/>
      <w:ind w:left="720" w:hanging="0"/>
      <w:contextualSpacing/>
    </w:pPr>
    <w:rPr>
      <w:szCs w:val="21"/>
    </w:rPr>
  </w:style>
  <w:style w:type="paragraph" w:styleId="Zawartotabeli" w:customStyle="1">
    <w:name w:val="Zawartość tabeli"/>
    <w:basedOn w:val="Normal"/>
    <w:qFormat/>
    <w:rsid w:val="00c82f0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82f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baw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Application>LibreOffice/7.3.1.3$Windows_X86_64 LibreOffice_project/a69ca51ded25f3eefd52d7bf9a5fad8c90b87951</Application>
  <AppVersion>15.0000</AppVersion>
  <Pages>9</Pages>
  <Words>2136</Words>
  <Characters>13646</Characters>
  <CharactersWithSpaces>15623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2018-04-20T05:45:00Z</dcterms:created>
  <dc:creator>Sławomir Jamroży</dc:creator>
  <dc:description/>
  <dc:language>pl-PL</dc:language>
  <cp:lastModifiedBy/>
  <cp:lastPrinted>2022-11-23T07:37:17Z</cp:lastPrinted>
  <dcterms:modified xsi:type="dcterms:W3CDTF">2022-11-23T07:37:25Z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